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513E" w:rsidRPr="00A237A3" w:rsidRDefault="00A237A3" w:rsidP="00A237A3">
      <w:pPr>
        <w:spacing w:after="0" w:line="240" w:lineRule="auto"/>
        <w:jc w:val="center"/>
        <w:rPr>
          <w:rFonts w:ascii="Georgia" w:hAnsi="Georgia"/>
          <w:b/>
          <w:bCs/>
          <w:smallCaps/>
          <w:sz w:val="40"/>
          <w:szCs w:val="40"/>
        </w:rPr>
      </w:pPr>
      <w:r w:rsidRPr="00A237A3">
        <w:rPr>
          <w:rFonts w:ascii="Georgia" w:hAnsi="Georgia"/>
          <w:b/>
          <w:bCs/>
          <w:smallCaps/>
          <w:sz w:val="40"/>
          <w:szCs w:val="40"/>
        </w:rPr>
        <w:t>Your County Committee of Safety</w:t>
      </w:r>
    </w:p>
    <w:p w:rsidR="00A33EC7" w:rsidRPr="00A237A3" w:rsidRDefault="00A237A3" w:rsidP="00A237A3">
      <w:pPr>
        <w:jc w:val="center"/>
        <w:rPr>
          <w:i/>
          <w:iCs/>
        </w:rPr>
      </w:pPr>
      <w:r w:rsidRPr="00A237A3">
        <w:rPr>
          <w:i/>
          <w:iCs/>
        </w:rPr>
        <w:t xml:space="preserve">Address, Town/City, State and </w:t>
      </w:r>
      <w:r>
        <w:rPr>
          <w:i/>
          <w:iCs/>
        </w:rPr>
        <w:t>Z</w:t>
      </w:r>
      <w:r w:rsidRPr="00A237A3">
        <w:rPr>
          <w:i/>
          <w:iCs/>
        </w:rPr>
        <w:t>ip</w:t>
      </w:r>
    </w:p>
    <w:p w:rsidR="00A237A3" w:rsidRDefault="004317DF">
      <w:r>
        <w:rPr>
          <w:noProof/>
          <w14:ligatures w14:val="standardContextual"/>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173327</wp:posOffset>
                </wp:positionV>
                <wp:extent cx="3064510" cy="15240"/>
                <wp:effectExtent l="0" t="0" r="21590" b="22860"/>
                <wp:wrapNone/>
                <wp:docPr id="1707780521" name="Straight Connector 2"/>
                <wp:cNvGraphicFramePr/>
                <a:graphic xmlns:a="http://schemas.openxmlformats.org/drawingml/2006/main">
                  <a:graphicData uri="http://schemas.microsoft.com/office/word/2010/wordprocessingShape">
                    <wps:wsp>
                      <wps:cNvCnPr/>
                      <wps:spPr>
                        <a:xfrm>
                          <a:off x="0" y="0"/>
                          <a:ext cx="306451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074F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65pt" to="241.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wHoAEAAIwDAAAOAAAAZHJzL2Uyb0RvYy54bWysU8tu2zAQvBfIPxC815LcJCgEyzkkaC5B&#10;G+TxAQy1tIiQXIJkLPnvs6RtuWiLHIpcKD5mdndmV6uryRq2hRA1uo43i5ozcBJ77TYdf3768fU7&#10;ZzEJ1wuDDjq+g8iv1mdfVqNvYYkDmh4CoyAutqPv+JCSb6sqygGsiAv04OhRYbAi0TFsqj6IkaJb&#10;Uy3r+rIaMfQ+oIQY6fZm/8jXJb5SINMvpSIkZjpOtaWyhrK+5LVar0S7CcIPWh7KEP9RhRXaUdI5&#10;1I1Igr0F/Vcoq2XAiCotJNoKldISigZS09R/qHkchIeihcyJfrYpfl5Y+XN77e4D2TD62EZ/H7KK&#10;SQWbv1Qfm4pZu9ksmBKTdPmtvjy/aMhTSW/NxfK8mFmdyD7EdAtoWd503GiXtYhWbO9iooQEPULo&#10;cEpfdmlnIIONewDFdJ8TFnaZDLg2gW0F9bR/bXIPKVZBZorSxsyk+mPSAZtpUKZlJi4/Js7okhFd&#10;molWOwz/IqfpWKra44+q91qz7Bfsd6UZxQ5qeVF2GM88U7+fC/30E63fAQAA//8DAFBLAwQUAAYA&#10;CAAAACEAztixHN4AAAAGAQAADwAAAGRycy9kb3ducmV2LnhtbEyPQU+DQBCF7yb+h82YeDF2EUup&#10;yNIYEw+YaGJrPE9hCig7S9gtxX/veNLjvPfy3jf5Zra9mmj0nWMDN4sIFHHl6o4bA++7p+s1KB+Q&#10;a+wdk4Fv8rApzs9yzGp34jeatqFRUsI+QwNtCEOmta9asugXbiAW7+BGi0HOsdH1iCcpt72Oo2il&#10;LXYsCy0O9NhS9bU9WgOf5UfZJFdpd3hdJs+4m5IXnkpjLi/mh3tQgebwF4ZffEGHQpj27si1V70B&#10;eSQYiNNbUOIu1/EK1F6EuxR0kev/+MUPAAAA//8DAFBLAQItABQABgAIAAAAIQC2gziS/gAAAOEB&#10;AAATAAAAAAAAAAAAAAAAAAAAAABbQ29udGVudF9UeXBlc10ueG1sUEsBAi0AFAAGAAgAAAAhADj9&#10;If/WAAAAlAEAAAsAAAAAAAAAAAAAAAAALwEAAF9yZWxzLy5yZWxzUEsBAi0AFAAGAAgAAAAhALWC&#10;rAegAQAAjAMAAA4AAAAAAAAAAAAAAAAALgIAAGRycy9lMm9Eb2MueG1sUEsBAi0AFAAGAAgAAAAh&#10;AM7YsRzeAAAABgEAAA8AAAAAAAAAAAAAAAAA+gMAAGRycy9kb3ducmV2LnhtbFBLBQYAAAAABAAE&#10;APMAAAAFBQAAAAA=&#10;" strokecolor="black [3200]" strokeweight="1.5pt">
                <v:stroke joinstyle="miter"/>
                <w10:wrap anchorx="margin"/>
              </v:line>
            </w:pict>
          </mc:Fallback>
        </mc:AlternateContent>
      </w:r>
      <w:r>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3063875</wp:posOffset>
                </wp:positionH>
                <wp:positionV relativeFrom="paragraph">
                  <wp:posOffset>189258</wp:posOffset>
                </wp:positionV>
                <wp:extent cx="127635" cy="1567815"/>
                <wp:effectExtent l="0" t="0" r="24765" b="13335"/>
                <wp:wrapNone/>
                <wp:docPr id="2101739628" name="Right Bracket 3"/>
                <wp:cNvGraphicFramePr/>
                <a:graphic xmlns:a="http://schemas.openxmlformats.org/drawingml/2006/main">
                  <a:graphicData uri="http://schemas.microsoft.com/office/word/2010/wordprocessingShape">
                    <wps:wsp>
                      <wps:cNvSpPr/>
                      <wps:spPr>
                        <a:xfrm>
                          <a:off x="0" y="0"/>
                          <a:ext cx="127635" cy="1567815"/>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FE9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position:absolute;margin-left:241.25pt;margin-top:14.9pt;width:10.05pt;height:12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aCSwIAAOwEAAAOAAAAZHJzL2Uyb0RvYy54bWysVN9P2zAQfp+0/8Hy+0hTWmAVKepATJMQ&#10;oMHEs+vYjUXi885u0+6v5+ykKWKIh2kv7tl33/34+l3OL7ZNzTYKvQFb8PxoxJmyEkpjVwX/9Xj9&#10;5YwzH4QtRQ1WFXynPL+Yf/503rqZGkMFdamQURLrZ60reBWCm2WZl5VqhD8Cpyw5NWAjAl1xlZUo&#10;Wsre1Nl4NDrJWsDSIUjlPb1edU4+T/m1VjLcae1VYHXBqbeQTkznMp7Z/FzMVihcZWTfhviHLhph&#10;LBUdUl2JINgazV+pGiMRPOhwJKHJQGsjVZqBpslHb6Z5qIRTaRYix7uBJv//0srbzYO7R6KhdX7m&#10;yYxTbDU28Zf6Y9tE1m4gS20Dk/SYj09PjqecSXLl05PTs3wa2cwOaIc+fFfQsGgUHM2qCt9QyGcV&#10;Eldic+NDB9mHEv7QR7LCrlaxldr+VJqZkiofJ3SSiLqskW0E/bnlc96XT5ERok1dD6DRx6A+NsJU&#10;ks0AHH8MHKJTRbBhADbGAr4HDtt9q7qL30/dzRrHXkK5u0eG0AnWO3ltiMQb4cO9QFIoaZm2LtzR&#10;oWtoCw69xVkF+Oe99xhPwiEvZy0pvuD+91qg4qz+YUlSX/PJJK5Iukymp2O64GvP8rXHrptLIN5z&#10;2m8nkxnjQ703NULzRMu5iFXJJayk2gWXAfeXy9BtIq23VItFCqO1cCLc2AcnY/LIahTH4/ZJoOuV&#10;FEiDt7DfDjF7I6QuNiItLNYBtEkqO/Da800rlfTar3/c2df3FHX4SM1fAAAA//8DAFBLAwQUAAYA&#10;CAAAACEAkmwOQN8AAAAKAQAADwAAAGRycy9kb3ducmV2LnhtbEyPwU7DMAyG70i8Q2Qkbixdxbqt&#10;NJ0QEoIDQmKgnbPGtB2J0zXpFt4ec4Kj7U+/v7/aJGfFCcfQe1Iwn2UgkBpvemoVfLw/3qxAhKjJ&#10;aOsJFXxjgE19eVHp0vgzveFpG1vBIRRKraCLcSilDE2HToeZH5D49ulHpyOPYyvNqM8c7qzMs6yQ&#10;TvfEHzo94EOHzdd2cgrSa3o59n4d5jt/eLYHe3zaTYVS11fp/g5ExBT/YPjVZ3Wo2WnvJzJBWAW3&#10;q3zBqIJ8zRUYWGR5AWLPi2WxBFlX8n+F+gcAAP//AwBQSwECLQAUAAYACAAAACEAtoM4kv4AAADh&#10;AQAAEwAAAAAAAAAAAAAAAAAAAAAAW0NvbnRlbnRfVHlwZXNdLnhtbFBLAQItABQABgAIAAAAIQA4&#10;/SH/1gAAAJQBAAALAAAAAAAAAAAAAAAAAC8BAABfcmVscy8ucmVsc1BLAQItABQABgAIAAAAIQBU&#10;e2aCSwIAAOwEAAAOAAAAAAAAAAAAAAAAAC4CAABkcnMvZTJvRG9jLnhtbFBLAQItABQABgAIAAAA&#10;IQCSbA5A3wAAAAoBAAAPAAAAAAAAAAAAAAAAAKUEAABkcnMvZG93bnJldi54bWxQSwUGAAAAAAQA&#10;BADzAAAAsQUAAAAA&#10;" adj="147" strokecolor="black [3200]" strokeweight="1.5pt">
                <v:stroke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A237A3" w:rsidTr="00A237A3">
        <w:tc>
          <w:tcPr>
            <w:tcW w:w="5035" w:type="dxa"/>
          </w:tcPr>
          <w:p w:rsidR="00A237A3" w:rsidRPr="00B07BE5" w:rsidRDefault="00A237A3" w:rsidP="004317DF">
            <w:pPr>
              <w:spacing w:after="0"/>
              <w:rPr>
                <w:rFonts w:ascii="Georgia" w:hAnsi="Georgia"/>
              </w:rPr>
            </w:pPr>
            <w:r w:rsidRPr="00B07BE5">
              <w:rPr>
                <w:rFonts w:ascii="Georgia" w:hAnsi="Georgia"/>
              </w:rPr>
              <w:t xml:space="preserve">John Doe, Mary Doe … </w:t>
            </w:r>
            <w:proofErr w:type="spellStart"/>
            <w:r w:rsidRPr="00B07BE5">
              <w:rPr>
                <w:rFonts w:ascii="Georgia" w:hAnsi="Georgia"/>
              </w:rPr>
              <w:t>etc</w:t>
            </w:r>
            <w:proofErr w:type="spellEnd"/>
            <w:r w:rsidR="004317DF">
              <w:rPr>
                <w:rFonts w:ascii="Georgia" w:hAnsi="Georgia"/>
              </w:rPr>
              <w:t xml:space="preserve"> </w:t>
            </w:r>
          </w:p>
        </w:tc>
        <w:tc>
          <w:tcPr>
            <w:tcW w:w="4315" w:type="dxa"/>
          </w:tcPr>
          <w:p w:rsidR="00B07BE5" w:rsidRDefault="00AE7933" w:rsidP="00B07BE5">
            <w:pPr>
              <w:autoSpaceDE w:val="0"/>
              <w:autoSpaceDN w:val="0"/>
              <w:adjustRightInd w:val="0"/>
              <w:spacing w:after="0" w:line="240" w:lineRule="auto"/>
              <w:rPr>
                <w:rFonts w:ascii="Georgia" w:hAnsi="Georgia" w:cs="TimesNewRoman"/>
                <w:i/>
                <w:iCs/>
                <w:sz w:val="20"/>
                <w:szCs w:val="20"/>
                <w14:ligatures w14:val="standardContextual"/>
              </w:rPr>
            </w:pPr>
            <w:r w:rsidRPr="00AE7933">
              <w:rPr>
                <w:rFonts w:ascii="Georgia" w:hAnsi="Georgia" w:cs="TimesNewRoman"/>
                <w:b/>
                <w:bCs/>
                <w:smallCaps/>
                <w:sz w:val="20"/>
                <w:szCs w:val="20"/>
                <w14:ligatures w14:val="standardContextual"/>
              </w:rPr>
              <w:t>Authority</w:t>
            </w:r>
            <w:r>
              <w:rPr>
                <w:rFonts w:ascii="Georgia" w:hAnsi="Georgia" w:cs="TimesNewRoman"/>
                <w:sz w:val="20"/>
                <w:szCs w:val="20"/>
                <w14:ligatures w14:val="standardContextual"/>
              </w:rPr>
              <w:t xml:space="preserve"> - </w:t>
            </w:r>
            <w:r w:rsidR="00D36F6C">
              <w:rPr>
                <w:rFonts w:ascii="Georgia" w:hAnsi="Georgia" w:cs="TimesNewRoman"/>
                <w:sz w:val="20"/>
                <w:szCs w:val="20"/>
                <w14:ligatures w14:val="standardContextual"/>
              </w:rPr>
              <w:t>“</w:t>
            </w:r>
            <w:r w:rsidR="00B07BE5" w:rsidRPr="00B07BE5">
              <w:rPr>
                <w:rFonts w:ascii="Georgia" w:hAnsi="Georgia" w:cs="TimesNewRoman"/>
                <w:sz w:val="20"/>
                <w:szCs w:val="20"/>
                <w14:ligatures w14:val="standardContextual"/>
              </w:rPr>
              <w:t>Governments are instituted among Men, deriving their just powers from the consent of the governed, --That whenever any Form of Government becomes destructive of these ends, it is the Right of the People to alter or to abolish it, and to institute new Government</w:t>
            </w:r>
            <w:r w:rsidR="00D36F6C">
              <w:rPr>
                <w:rFonts w:ascii="Georgia" w:hAnsi="Georgia" w:cs="TimesNewRoman"/>
                <w:sz w:val="20"/>
                <w:szCs w:val="20"/>
                <w14:ligatures w14:val="standardContextual"/>
              </w:rPr>
              <w:t>.”</w:t>
            </w:r>
            <w:r w:rsidR="00B07BE5">
              <w:rPr>
                <w:rFonts w:ascii="Georgia" w:hAnsi="Georgia" w:cs="TimesNewRoman"/>
                <w:sz w:val="20"/>
                <w:szCs w:val="20"/>
                <w14:ligatures w14:val="standardContextual"/>
              </w:rPr>
              <w:t xml:space="preserve"> – </w:t>
            </w:r>
            <w:r w:rsidR="00B07BE5" w:rsidRPr="00B07BE5">
              <w:rPr>
                <w:rFonts w:ascii="Georgia" w:hAnsi="Georgia" w:cs="TimesNewRoman"/>
                <w:i/>
                <w:iCs/>
                <w:sz w:val="20"/>
                <w:szCs w:val="20"/>
                <w14:ligatures w14:val="standardContextual"/>
              </w:rPr>
              <w:t xml:space="preserve">Declaration of Independence </w:t>
            </w:r>
          </w:p>
          <w:p w:rsidR="00B07BE5" w:rsidRPr="00B07BE5" w:rsidRDefault="00B07BE5" w:rsidP="00B07BE5">
            <w:pPr>
              <w:autoSpaceDE w:val="0"/>
              <w:autoSpaceDN w:val="0"/>
              <w:adjustRightInd w:val="0"/>
              <w:spacing w:after="0" w:line="240" w:lineRule="auto"/>
              <w:rPr>
                <w:rFonts w:ascii="Georgia" w:hAnsi="Georgia"/>
                <w:smallCaps/>
                <w:sz w:val="8"/>
                <w:szCs w:val="8"/>
              </w:rPr>
            </w:pPr>
          </w:p>
        </w:tc>
      </w:tr>
      <w:tr w:rsidR="00A237A3" w:rsidTr="00A237A3">
        <w:tc>
          <w:tcPr>
            <w:tcW w:w="5035" w:type="dxa"/>
          </w:tcPr>
          <w:p w:rsidR="00A237A3" w:rsidRPr="00B07BE5" w:rsidRDefault="00B07BE5" w:rsidP="00B07BE5">
            <w:pPr>
              <w:spacing w:after="0"/>
              <w:jc w:val="right"/>
              <w:rPr>
                <w:rFonts w:ascii="Georgia" w:hAnsi="Georgia"/>
                <w:i/>
                <w:iCs/>
              </w:rPr>
            </w:pPr>
            <w:r w:rsidRPr="00B07BE5">
              <w:rPr>
                <w:rFonts w:ascii="Georgia" w:hAnsi="Georgia"/>
                <w:i/>
                <w:iCs/>
              </w:rPr>
              <w:t>Respondents</w:t>
            </w:r>
          </w:p>
        </w:tc>
        <w:tc>
          <w:tcPr>
            <w:tcW w:w="4315" w:type="dxa"/>
          </w:tcPr>
          <w:p w:rsidR="00A237A3" w:rsidRPr="004317DF" w:rsidRDefault="00B07BE5" w:rsidP="00B07BE5">
            <w:pPr>
              <w:spacing w:after="0"/>
              <w:jc w:val="center"/>
              <w:rPr>
                <w:rFonts w:ascii="Georgia" w:hAnsi="Georgia"/>
                <w:b/>
                <w:bCs/>
              </w:rPr>
            </w:pPr>
            <w:r w:rsidRPr="004317DF">
              <w:rPr>
                <w:rFonts w:ascii="Georgia" w:hAnsi="Georgia"/>
                <w:b/>
                <w:bCs/>
                <w:smallCaps/>
              </w:rPr>
              <w:t>Common Law Process</w:t>
            </w:r>
          </w:p>
        </w:tc>
      </w:tr>
    </w:tbl>
    <w:p w:rsidR="00A237A3" w:rsidRDefault="004317DF" w:rsidP="004317DF">
      <w:pPr>
        <w:spacing w:after="0"/>
      </w:pPr>
      <w:r>
        <w:rPr>
          <w:noProof/>
          <w14:ligatures w14:val="standardContextual"/>
        </w:rPr>
        <mc:AlternateContent>
          <mc:Choice Requires="wps">
            <w:drawing>
              <wp:anchor distT="0" distB="0" distL="114300" distR="114300" simplePos="0" relativeHeight="251664384" behindDoc="0" locked="0" layoutInCell="1" allowOverlap="1" wp14:anchorId="4B0B560C" wp14:editId="0CF0EAB8">
                <wp:simplePos x="0" y="0"/>
                <wp:positionH relativeFrom="margin">
                  <wp:posOffset>5108</wp:posOffset>
                </wp:positionH>
                <wp:positionV relativeFrom="paragraph">
                  <wp:posOffset>146685</wp:posOffset>
                </wp:positionV>
                <wp:extent cx="3064510" cy="15240"/>
                <wp:effectExtent l="0" t="0" r="21590" b="22860"/>
                <wp:wrapNone/>
                <wp:docPr id="408879806" name="Straight Connector 2"/>
                <wp:cNvGraphicFramePr/>
                <a:graphic xmlns:a="http://schemas.openxmlformats.org/drawingml/2006/main">
                  <a:graphicData uri="http://schemas.microsoft.com/office/word/2010/wordprocessingShape">
                    <wps:wsp>
                      <wps:cNvCnPr/>
                      <wps:spPr>
                        <a:xfrm>
                          <a:off x="0" y="0"/>
                          <a:ext cx="306451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7DD0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1.55pt" to="24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wHoAEAAIwDAAAOAAAAZHJzL2Uyb0RvYy54bWysU8tu2zAQvBfIPxC815LcJCgEyzkkaC5B&#10;G+TxAQy1tIiQXIJkLPnvs6RtuWiLHIpcKD5mdndmV6uryRq2hRA1uo43i5ozcBJ77TYdf3768fU7&#10;ZzEJ1wuDDjq+g8iv1mdfVqNvYYkDmh4CoyAutqPv+JCSb6sqygGsiAv04OhRYbAi0TFsqj6IkaJb&#10;Uy3r+rIaMfQ+oIQY6fZm/8jXJb5SINMvpSIkZjpOtaWyhrK+5LVar0S7CcIPWh7KEP9RhRXaUdI5&#10;1I1Igr0F/Vcoq2XAiCotJNoKldISigZS09R/qHkchIeihcyJfrYpfl5Y+XN77e4D2TD62EZ/H7KK&#10;SQWbv1Qfm4pZu9ksmBKTdPmtvjy/aMhTSW/NxfK8mFmdyD7EdAtoWd503GiXtYhWbO9iooQEPULo&#10;cEpfdmlnIIONewDFdJ8TFnaZDLg2gW0F9bR/bXIPKVZBZorSxsyk+mPSAZtpUKZlJi4/Js7okhFd&#10;molWOwz/IqfpWKra44+q91qz7Bfsd6UZxQ5qeVF2GM88U7+fC/30E63fAQAA//8DAFBLAwQUAAYA&#10;CAAAACEAzhRtct0AAAAGAQAADwAAAGRycy9kb3ducmV2LnhtbEzOwU7DMAwG4DsS7xAZiQti6bYG&#10;ptJ0QkgcisQktmlnr8naQuNUTdaVt8ec4Gj/1u8vX0+uE6MdQutJw3yWgLBUedNSrWG/e71fgQgR&#10;yWDnyWr4tgHWxfVVjpnxF/qw4zbWgksoZKihibHPpAxVYx2Gme8tcXbyg8PI41BLM+CFy10nF0ny&#10;IB22xB8a7O1LY6uv7dlp+CwPZa3uHtvTJlVvuBvVO42l1rc30/MTiGin+HcMv3ymQ8Gmoz+TCaLT&#10;wO6oYbGcg+A0XS1TEEdeKAWyyOV/fvEDAAD//wMAUEsBAi0AFAAGAAgAAAAhALaDOJL+AAAA4QEA&#10;ABMAAAAAAAAAAAAAAAAAAAAAAFtDb250ZW50X1R5cGVzXS54bWxQSwECLQAUAAYACAAAACEAOP0h&#10;/9YAAACUAQAACwAAAAAAAAAAAAAAAAAvAQAAX3JlbHMvLnJlbHNQSwECLQAUAAYACAAAACEAtYKs&#10;B6ABAACMAwAADgAAAAAAAAAAAAAAAAAuAgAAZHJzL2Uyb0RvYy54bWxQSwECLQAUAAYACAAAACEA&#10;zhRtct0AAAAGAQAADwAAAAAAAAAAAAAAAAD6AwAAZHJzL2Rvd25yZXYueG1sUEsFBgAAAAAEAAQA&#10;8wAAAAQFAAAAAA==&#10;" strokecolor="black [3200]" strokeweight="1.5pt">
                <v:stroke joinstyle="miter"/>
                <w10:wrap anchorx="margin"/>
              </v:line>
            </w:pict>
          </mc:Fallback>
        </mc:AlternateContent>
      </w:r>
    </w:p>
    <w:p w:rsidR="004317DF" w:rsidRPr="00D0650E" w:rsidRDefault="00D0650E" w:rsidP="00D0650E">
      <w:pPr>
        <w:spacing w:after="0"/>
        <w:ind w:left="4320" w:firstLine="720"/>
        <w:rPr>
          <w:rFonts w:ascii="Georgia" w:hAnsi="Georgia"/>
          <w:smallCaps/>
        </w:rPr>
      </w:pPr>
      <w:r>
        <w:rPr>
          <w:rFonts w:ascii="Georgia" w:hAnsi="Georgia"/>
          <w:smallCaps/>
        </w:rPr>
        <w:t xml:space="preserve">           </w:t>
      </w:r>
      <w:r w:rsidRPr="00D0650E">
        <w:rPr>
          <w:rFonts w:ascii="Georgia" w:hAnsi="Georgia"/>
          <w:smallCaps/>
        </w:rPr>
        <w:t>Memorandum of Law Attached</w:t>
      </w:r>
    </w:p>
    <w:p w:rsidR="004317DF" w:rsidRPr="00EB42FC" w:rsidRDefault="004317DF" w:rsidP="004317DF">
      <w:pPr>
        <w:spacing w:after="0"/>
        <w:rPr>
          <w:rFonts w:ascii="Georgia" w:hAnsi="Georgia"/>
        </w:rPr>
      </w:pPr>
    </w:p>
    <w:p w:rsidR="00D0650E" w:rsidRPr="00EB42FC" w:rsidRDefault="00D0650E" w:rsidP="00D0650E">
      <w:pPr>
        <w:spacing w:after="0"/>
        <w:rPr>
          <w:rFonts w:ascii="Georgia" w:hAnsi="Georgia"/>
        </w:rPr>
      </w:pPr>
      <w:r w:rsidRPr="00EB42FC">
        <w:rPr>
          <w:rFonts w:ascii="Georgia" w:hAnsi="Georgia"/>
          <w:color w:val="FF0000"/>
        </w:rPr>
        <w:t>Your State, Your County</w:t>
      </w:r>
      <w:r w:rsidR="00C416DC" w:rsidRPr="00C416DC">
        <w:rPr>
          <w:rFonts w:ascii="Georgia" w:hAnsi="Georgia"/>
        </w:rPr>
        <w:t>,</w:t>
      </w:r>
      <w:r w:rsidRPr="00EB42FC">
        <w:rPr>
          <w:rFonts w:ascii="Georgia" w:hAnsi="Georgia"/>
        </w:rPr>
        <w:t xml:space="preserve"> under Seal, </w:t>
      </w:r>
      <w:r>
        <w:rPr>
          <w:rFonts w:ascii="Georgia" w:hAnsi="Georgia"/>
        </w:rPr>
        <w:t>s</w:t>
      </w:r>
      <w:r>
        <w:rPr>
          <w:rFonts w:ascii="Georgia" w:hAnsi="Georgia"/>
        </w:rPr>
        <w:t>erved by Sheriff</w:t>
      </w:r>
      <w:r w:rsidRPr="00EB42FC">
        <w:rPr>
          <w:rFonts w:ascii="Georgia" w:hAnsi="Georgia"/>
        </w:rPr>
        <w:t>:</w:t>
      </w:r>
    </w:p>
    <w:p w:rsidR="004317DF" w:rsidRPr="00EB42FC" w:rsidRDefault="004317DF" w:rsidP="004317DF">
      <w:pPr>
        <w:spacing w:after="0"/>
        <w:rPr>
          <w:rFonts w:ascii="Georgia" w:hAnsi="Georgia"/>
        </w:rPr>
      </w:pPr>
    </w:p>
    <w:p w:rsidR="00A33EC7" w:rsidRPr="001C37C2" w:rsidRDefault="00A33EC7" w:rsidP="004317DF">
      <w:pPr>
        <w:tabs>
          <w:tab w:val="left" w:pos="360"/>
        </w:tabs>
        <w:spacing w:after="0"/>
        <w:jc w:val="center"/>
        <w:rPr>
          <w:rFonts w:ascii="Georgia" w:hAnsi="Georgia" w:cs="Garamond"/>
          <w:b/>
          <w:bCs/>
          <w:sz w:val="36"/>
          <w:szCs w:val="36"/>
        </w:rPr>
      </w:pPr>
      <w:r>
        <w:rPr>
          <w:rFonts w:ascii="Georgia" w:hAnsi="Georgia" w:cs="Garamond"/>
          <w:b/>
          <w:bCs/>
          <w:sz w:val="36"/>
          <w:szCs w:val="36"/>
        </w:rPr>
        <w:t xml:space="preserve">WRIT </w:t>
      </w:r>
      <w:r w:rsidRPr="001C37C2">
        <w:rPr>
          <w:rFonts w:ascii="Georgia" w:hAnsi="Georgia" w:cs="Garamond"/>
          <w:b/>
          <w:bCs/>
          <w:sz w:val="36"/>
          <w:szCs w:val="36"/>
        </w:rPr>
        <w:t>QUO WARRANTO</w:t>
      </w:r>
      <w:r w:rsidRPr="001C37C2">
        <w:rPr>
          <w:rStyle w:val="FootnoteReference"/>
          <w:rFonts w:ascii="Georgia" w:hAnsi="Georgia" w:cs="Garamond"/>
          <w:b/>
          <w:bCs/>
          <w:sz w:val="36"/>
          <w:szCs w:val="36"/>
        </w:rPr>
        <w:footnoteReference w:id="1"/>
      </w:r>
    </w:p>
    <w:p w:rsidR="00A33EC7" w:rsidRPr="001C37C2" w:rsidRDefault="00A33EC7" w:rsidP="00A33EC7">
      <w:pPr>
        <w:tabs>
          <w:tab w:val="left" w:pos="360"/>
        </w:tabs>
        <w:spacing w:after="0" w:line="360" w:lineRule="auto"/>
        <w:jc w:val="center"/>
        <w:rPr>
          <w:rFonts w:ascii="Georgia" w:hAnsi="Georgia" w:cs="Garamond"/>
          <w:bCs/>
          <w:i/>
        </w:rPr>
      </w:pPr>
      <w:r w:rsidRPr="001C37C2">
        <w:rPr>
          <w:rFonts w:ascii="Georgia" w:hAnsi="Georgia" w:cs="Garamond"/>
          <w:bCs/>
          <w:i/>
        </w:rPr>
        <w:t>Administrative Notice and Demand for Identification and Credentials</w:t>
      </w:r>
    </w:p>
    <w:p w:rsidR="00A33EC7" w:rsidRPr="001C37C2" w:rsidRDefault="00A33EC7" w:rsidP="00A33EC7">
      <w:pPr>
        <w:tabs>
          <w:tab w:val="left" w:pos="360"/>
        </w:tabs>
        <w:spacing w:after="0" w:line="360" w:lineRule="auto"/>
        <w:jc w:val="center"/>
        <w:rPr>
          <w:rFonts w:ascii="Georgia" w:hAnsi="Georgia" w:cs="Garamond"/>
        </w:rPr>
      </w:pPr>
    </w:p>
    <w:p w:rsidR="00A33EC7" w:rsidRDefault="00A33EC7" w:rsidP="00A33EC7">
      <w:pPr>
        <w:tabs>
          <w:tab w:val="left" w:pos="360"/>
        </w:tabs>
        <w:spacing w:line="360" w:lineRule="auto"/>
        <w:ind w:firstLine="360"/>
        <w:rPr>
          <w:rFonts w:ascii="Georgia" w:hAnsi="Georgia" w:cs="Garamond"/>
        </w:rPr>
      </w:pPr>
      <w:r w:rsidRPr="001C37C2">
        <w:rPr>
          <w:rFonts w:ascii="Georgia" w:hAnsi="Georgia" w:cs="Garamond"/>
          <w:smallCaps/>
        </w:rPr>
        <w:t>On and for the Record</w:t>
      </w:r>
      <w:r w:rsidRPr="001C37C2">
        <w:rPr>
          <w:rFonts w:ascii="Georgia" w:hAnsi="Georgia" w:cs="Garamond"/>
        </w:rPr>
        <w:t xml:space="preserve">, this “Good Faith Presentment” </w:t>
      </w:r>
      <w:r>
        <w:rPr>
          <w:rFonts w:ascii="Georgia" w:hAnsi="Georgia" w:cs="Garamond"/>
        </w:rPr>
        <w:t>p</w:t>
      </w:r>
      <w:r w:rsidRPr="001C37C2">
        <w:rPr>
          <w:rFonts w:ascii="Georgia" w:hAnsi="Georgia" w:cs="Garamond"/>
          <w:bCs/>
        </w:rPr>
        <w:t>ursuant to 1</w:t>
      </w:r>
      <w:r w:rsidRPr="001C37C2">
        <w:rPr>
          <w:rFonts w:ascii="Georgia" w:hAnsi="Georgia" w:cs="Garamond"/>
          <w:bCs/>
          <w:vertAlign w:val="superscript"/>
        </w:rPr>
        <w:t>st</w:t>
      </w:r>
      <w:r w:rsidRPr="001C37C2">
        <w:rPr>
          <w:rFonts w:ascii="Georgia" w:hAnsi="Georgia" w:cs="Garamond"/>
          <w:bCs/>
        </w:rPr>
        <w:t xml:space="preserve"> and 9</w:t>
      </w:r>
      <w:r w:rsidRPr="001C37C2">
        <w:rPr>
          <w:rFonts w:ascii="Georgia" w:hAnsi="Georgia" w:cs="Garamond"/>
          <w:bCs/>
          <w:vertAlign w:val="superscript"/>
        </w:rPr>
        <w:t>th</w:t>
      </w:r>
      <w:r w:rsidRPr="001C37C2">
        <w:rPr>
          <w:rFonts w:ascii="Georgia" w:hAnsi="Georgia" w:cs="Garamond"/>
          <w:bCs/>
        </w:rPr>
        <w:t xml:space="preserve"> Amendment,</w:t>
      </w:r>
      <w:r w:rsidR="00FB2439">
        <w:rPr>
          <w:rFonts w:ascii="Georgia" w:hAnsi="Georgia" w:cs="Garamond"/>
          <w:bCs/>
        </w:rPr>
        <w:t xml:space="preserve"> and the unalienable right of the sovereign</w:t>
      </w:r>
      <w:r w:rsidR="00FB2439">
        <w:rPr>
          <w:rStyle w:val="FootnoteReference"/>
          <w:rFonts w:ascii="Georgia" w:hAnsi="Georgia" w:cs="Garamond"/>
          <w:bCs/>
        </w:rPr>
        <w:footnoteReference w:id="2"/>
      </w:r>
      <w:r w:rsidRPr="001C37C2">
        <w:rPr>
          <w:rFonts w:ascii="Georgia" w:hAnsi="Georgia" w:cs="Garamond"/>
          <w:bCs/>
        </w:rPr>
        <w:t xml:space="preserve"> </w:t>
      </w:r>
      <w:r w:rsidR="00FB2439">
        <w:rPr>
          <w:rFonts w:ascii="Georgia" w:hAnsi="Georgia" w:cs="Garamond"/>
          <w:bCs/>
        </w:rPr>
        <w:t xml:space="preserve">demand your response for </w:t>
      </w:r>
      <w:r w:rsidRPr="001C37C2">
        <w:rPr>
          <w:rFonts w:ascii="Georgia" w:hAnsi="Georgia" w:cs="Garamond"/>
          <w:bCs/>
        </w:rPr>
        <w:t>Redress of Grievance</w:t>
      </w:r>
      <w:r w:rsidRPr="001C37C2">
        <w:rPr>
          <w:rFonts w:ascii="Georgia" w:hAnsi="Georgia" w:cs="Garamond"/>
        </w:rPr>
        <w:t xml:space="preserve"> </w:t>
      </w:r>
      <w:r w:rsidR="00FB2439">
        <w:rPr>
          <w:rFonts w:ascii="Georgia" w:hAnsi="Georgia" w:cs="Garamond"/>
        </w:rPr>
        <w:t>herein</w:t>
      </w:r>
      <w:r w:rsidRPr="001C37C2">
        <w:rPr>
          <w:rFonts w:ascii="Georgia" w:hAnsi="Georgia" w:cs="Garamond"/>
        </w:rPr>
        <w:t xml:space="preserve"> presented by </w:t>
      </w:r>
      <w:r w:rsidR="00260136" w:rsidRPr="00260136">
        <w:rPr>
          <w:rFonts w:ascii="Georgia" w:hAnsi="Georgia" w:cs="Garamond"/>
          <w:color w:val="FF0000"/>
        </w:rPr>
        <w:t>Your County Committee of Safety</w:t>
      </w:r>
      <w:r w:rsidRPr="001C37C2">
        <w:rPr>
          <w:rFonts w:ascii="Georgia" w:hAnsi="Georgia" w:cs="Garamond"/>
          <w:color w:val="FF0000"/>
        </w:rPr>
        <w:t xml:space="preserve"> </w:t>
      </w:r>
      <w:r w:rsidRPr="001C37C2">
        <w:rPr>
          <w:rFonts w:ascii="Georgia" w:hAnsi="Georgia" w:cs="Garamond"/>
        </w:rPr>
        <w:t xml:space="preserve">to the </w:t>
      </w:r>
      <w:r w:rsidR="00260136" w:rsidRPr="00260136">
        <w:rPr>
          <w:rFonts w:ascii="Georgia" w:hAnsi="Georgia" w:cs="Garamond"/>
          <w:color w:val="FF0000"/>
        </w:rPr>
        <w:t>School District Board Members</w:t>
      </w:r>
      <w:r w:rsidRPr="001C37C2">
        <w:rPr>
          <w:rFonts w:ascii="Georgia" w:hAnsi="Georgia" w:cs="Garamond"/>
        </w:rPr>
        <w:t xml:space="preserve"> named above, for </w:t>
      </w:r>
      <w:r w:rsidR="00260136">
        <w:rPr>
          <w:rFonts w:ascii="Georgia" w:hAnsi="Georgia" w:cs="Garamond"/>
        </w:rPr>
        <w:t xml:space="preserve">the </w:t>
      </w:r>
      <w:r w:rsidRPr="001C37C2">
        <w:rPr>
          <w:rFonts w:ascii="Georgia" w:hAnsi="Georgia" w:cs="Garamond"/>
        </w:rPr>
        <w:t xml:space="preserve">purpose of obtaining full disclosure of identification under and determining under what authority, venue of office, and capacity the Recipient appears to conduct public business in </w:t>
      </w:r>
      <w:r w:rsidRPr="00260136">
        <w:rPr>
          <w:rFonts w:ascii="Georgia" w:hAnsi="Georgia" w:cs="Garamond"/>
        </w:rPr>
        <w:t>approaching</w:t>
      </w:r>
      <w:r w:rsidRPr="001C37C2">
        <w:rPr>
          <w:rFonts w:ascii="Georgia" w:hAnsi="Georgia" w:cs="Garamond"/>
        </w:rPr>
        <w:t xml:space="preserve"> the presenter.</w:t>
      </w:r>
    </w:p>
    <w:p w:rsidR="00A33EC7" w:rsidRDefault="00A33EC7" w:rsidP="00A33EC7">
      <w:pPr>
        <w:tabs>
          <w:tab w:val="left" w:pos="360"/>
        </w:tabs>
        <w:spacing w:line="360" w:lineRule="auto"/>
        <w:ind w:firstLine="360"/>
        <w:rPr>
          <w:rFonts w:ascii="Georgia" w:hAnsi="Georgia" w:cs="Garamond"/>
        </w:rPr>
      </w:pPr>
      <w:r w:rsidRPr="001C37C2">
        <w:rPr>
          <w:rFonts w:ascii="Georgia" w:hAnsi="Georgia" w:cs="Garamond"/>
        </w:rPr>
        <w:t xml:space="preserve">This Administrative Notice supported by Memorandum of Law attached, duly served on you, and deemed actual, constructive and sufficient notice, requires that you provide </w:t>
      </w:r>
      <w:r w:rsidRPr="001C37C2">
        <w:rPr>
          <w:rFonts w:ascii="Georgia" w:hAnsi="Georgia" w:cs="Garamond"/>
        </w:rPr>
        <w:lastRenderedPageBreak/>
        <w:t>to the presenter, within ten (10) business days from the time of presentment, copies of the below listed documents, said copies to be certified under penalty of perjury and exemplified in accordance with 1 Stat 122 and 2 Stat 298 and FRCP Rule 902, under Article VI of the Constitution of the United States for the United States of America.</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Oath of Office (Article VI Clause 3)</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Official Surety Bond (Title 31 USC §225.1)</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Letter of Appointment from, if applicable</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Registration Statement (Title 22 USC §611 &amp; 612)</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Delegation of Authority Affidavit</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 xml:space="preserve">Loyalty and Security Clearance (Title 22 USC §272b) </w:t>
      </w:r>
    </w:p>
    <w:p w:rsidR="004317DF" w:rsidRPr="001C37C2" w:rsidRDefault="004317DF" w:rsidP="00D36F6C">
      <w:pPr>
        <w:widowControl w:val="0"/>
        <w:numPr>
          <w:ilvl w:val="0"/>
          <w:numId w:val="2"/>
        </w:numPr>
        <w:tabs>
          <w:tab w:val="left" w:pos="360"/>
        </w:tabs>
        <w:autoSpaceDE w:val="0"/>
        <w:autoSpaceDN w:val="0"/>
        <w:adjustRightInd w:val="0"/>
        <w:spacing w:after="0"/>
        <w:rPr>
          <w:rFonts w:ascii="Georgia" w:hAnsi="Georgia" w:cs="Garamond"/>
        </w:rPr>
      </w:pPr>
      <w:r w:rsidRPr="001C37C2">
        <w:rPr>
          <w:rFonts w:ascii="Georgia" w:hAnsi="Georgia" w:cs="Garamond"/>
        </w:rPr>
        <w:t>Employee Affidavit, if applicable</w:t>
      </w:r>
      <w:r w:rsidRPr="001C37C2">
        <w:rPr>
          <w:rFonts w:ascii="Georgia" w:hAnsi="Georgia" w:cs="Garamond"/>
        </w:rPr>
        <w:tab/>
      </w:r>
    </w:p>
    <w:p w:rsidR="004317DF" w:rsidRPr="001C37C2" w:rsidRDefault="004317DF" w:rsidP="004317DF">
      <w:pPr>
        <w:widowControl w:val="0"/>
        <w:numPr>
          <w:ilvl w:val="0"/>
          <w:numId w:val="2"/>
        </w:numPr>
        <w:tabs>
          <w:tab w:val="left" w:pos="360"/>
        </w:tabs>
        <w:autoSpaceDE w:val="0"/>
        <w:autoSpaceDN w:val="0"/>
        <w:adjustRightInd w:val="0"/>
        <w:spacing w:line="360" w:lineRule="auto"/>
        <w:rPr>
          <w:rFonts w:ascii="Georgia" w:hAnsi="Georgia" w:cs="Garamond"/>
        </w:rPr>
      </w:pPr>
      <w:r w:rsidRPr="001C37C2">
        <w:rPr>
          <w:rFonts w:ascii="Georgia" w:hAnsi="Georgia" w:cs="Garamond"/>
        </w:rPr>
        <w:t>Economic Statement of Interest</w:t>
      </w:r>
    </w:p>
    <w:p w:rsidR="004317DF" w:rsidRPr="001C37C2" w:rsidRDefault="004317DF" w:rsidP="004317DF">
      <w:pPr>
        <w:numPr>
          <w:ilvl w:val="12"/>
          <w:numId w:val="0"/>
        </w:numPr>
        <w:tabs>
          <w:tab w:val="left" w:pos="360"/>
        </w:tabs>
        <w:spacing w:line="360" w:lineRule="auto"/>
        <w:ind w:firstLine="360"/>
        <w:rPr>
          <w:rFonts w:ascii="Georgia" w:hAnsi="Georgia" w:cs="Garamond"/>
        </w:rPr>
      </w:pPr>
      <w:r w:rsidRPr="001C37C2">
        <w:rPr>
          <w:rFonts w:ascii="Georgia" w:hAnsi="Georgia" w:cs="Garamond"/>
        </w:rPr>
        <w:t>You are compelled to answer under 28 USC §1361. Your failure, refusal, and/or neglect to fully and timely comply will set, for the record, as ultimate fact(s) that you have failed to qualify for the office and therefore are acting without lawful authority, office, and/or capacity as an officer, official, or agent for any original jurisdiction non-corporate governmental State or Federal agency.</w:t>
      </w:r>
    </w:p>
    <w:p w:rsidR="004317DF" w:rsidRPr="001C37C2" w:rsidRDefault="004317DF" w:rsidP="004317DF">
      <w:pPr>
        <w:numPr>
          <w:ilvl w:val="12"/>
          <w:numId w:val="0"/>
        </w:numPr>
        <w:tabs>
          <w:tab w:val="left" w:pos="360"/>
        </w:tabs>
        <w:spacing w:line="360" w:lineRule="auto"/>
        <w:ind w:firstLine="360"/>
        <w:rPr>
          <w:rFonts w:ascii="Georgia" w:hAnsi="Georgia" w:cs="Garamond"/>
        </w:rPr>
      </w:pPr>
      <w:r w:rsidRPr="001C37C2">
        <w:rPr>
          <w:rFonts w:ascii="Georgia" w:hAnsi="Georgia" w:cs="Garamond"/>
        </w:rPr>
        <w:t xml:space="preserve">It is presumed and/or assumed that it is your sworn/affirmed duty and fiduciary obligation to provide the above information, in a timely and truthful manner. Please be aware of what the federal courts have held in </w:t>
      </w:r>
      <w:r w:rsidRPr="001C37C2">
        <w:rPr>
          <w:rFonts w:ascii="Georgia" w:hAnsi="Georgia" w:cs="Garamond"/>
          <w:iCs/>
        </w:rPr>
        <w:t>US v. Tweel</w:t>
      </w:r>
      <w:r w:rsidRPr="001C37C2">
        <w:rPr>
          <w:rFonts w:ascii="Georgia" w:hAnsi="Georgia" w:cs="Garamond"/>
        </w:rPr>
        <w:t>, 550 F.2d 297, 299 (1977).</w:t>
      </w:r>
      <w:r w:rsidRPr="001C37C2">
        <w:rPr>
          <w:rFonts w:ascii="Georgia" w:hAnsi="Georgia"/>
        </w:rPr>
        <w:t xml:space="preserve"> “</w:t>
      </w:r>
      <w:r w:rsidRPr="001C37C2">
        <w:rPr>
          <w:rFonts w:ascii="Georgia" w:hAnsi="Georgia" w:cs="Garamond"/>
          <w:bCs/>
          <w:i/>
          <w:u w:val="single"/>
        </w:rPr>
        <w:t>Silence can only be equated with fraud</w:t>
      </w:r>
      <w:r w:rsidRPr="001C37C2">
        <w:rPr>
          <w:rFonts w:ascii="Georgia" w:hAnsi="Georgia" w:cs="Garamond"/>
          <w:i/>
        </w:rPr>
        <w:t xml:space="preserve"> where there is a legal or moral duty to speak or where an inquiry left unanswered would be intentionally misleading</w:t>
      </w:r>
      <w:r w:rsidRPr="001C37C2">
        <w:rPr>
          <w:rFonts w:ascii="Georgia" w:hAnsi="Georgia" w:cs="Garamond"/>
        </w:rPr>
        <w:t xml:space="preserve">.” </w:t>
      </w:r>
      <w:r>
        <w:rPr>
          <w:rFonts w:ascii="Georgia" w:hAnsi="Georgia" w:cs="Garamond"/>
        </w:rPr>
        <w:t>Should you meet this demand with silence We the People will pursue enforcement in a Court</w:t>
      </w:r>
      <w:r w:rsidR="00610A3F">
        <w:rPr>
          <w:rStyle w:val="FootnoteReference"/>
          <w:rFonts w:cs="TimesNewRoman"/>
        </w:rPr>
        <w:footnoteReference w:id="3"/>
      </w:r>
      <w:r>
        <w:rPr>
          <w:rFonts w:ascii="Georgia" w:hAnsi="Georgia" w:cs="Garamond"/>
        </w:rPr>
        <w:t xml:space="preserve"> of Record</w:t>
      </w:r>
      <w:r w:rsidR="00D36F6C" w:rsidRPr="000F336D">
        <w:rPr>
          <w:rStyle w:val="FootnoteReference"/>
        </w:rPr>
        <w:footnoteReference w:id="4"/>
      </w:r>
      <w:r w:rsidR="00710F96">
        <w:rPr>
          <w:rFonts w:ascii="Georgia" w:hAnsi="Georgia" w:cs="Garamond"/>
        </w:rPr>
        <w:t xml:space="preserve"> and remove despots from the office held</w:t>
      </w:r>
      <w:r w:rsidR="000E3835">
        <w:rPr>
          <w:rFonts w:ascii="Georgia" w:hAnsi="Georgia" w:cs="Garamond"/>
        </w:rPr>
        <w:t xml:space="preserve"> by our own authority protected under the </w:t>
      </w:r>
      <w:r w:rsidR="000E3835">
        <w:rPr>
          <w:rFonts w:ascii="Georgia" w:hAnsi="Georgia" w:cs="Garamond"/>
        </w:rPr>
        <w:lastRenderedPageBreak/>
        <w:t>Declaration of Independence,</w:t>
      </w:r>
      <w:r w:rsidR="00710F96">
        <w:rPr>
          <w:rFonts w:ascii="Georgia" w:hAnsi="Georgia" w:cs="Garamond"/>
        </w:rPr>
        <w:t xml:space="preserve"> along with charges of fraud and damages</w:t>
      </w:r>
      <w:r w:rsidR="00DA641C">
        <w:rPr>
          <w:rFonts w:ascii="Georgia" w:hAnsi="Georgia" w:cs="Garamond"/>
        </w:rPr>
        <w:t xml:space="preserve"> upon the People and their</w:t>
      </w:r>
      <w:r>
        <w:rPr>
          <w:rFonts w:ascii="Georgia" w:hAnsi="Georgia" w:cs="Garamond"/>
        </w:rPr>
        <w:t xml:space="preserve"> </w:t>
      </w:r>
      <w:r w:rsidR="00DA641C">
        <w:rPr>
          <w:rFonts w:ascii="Georgia" w:hAnsi="Georgia" w:cs="Garamond"/>
        </w:rPr>
        <w:t>p</w:t>
      </w:r>
      <w:r w:rsidR="00DA641C" w:rsidRPr="00DA641C">
        <w:rPr>
          <w:rFonts w:ascii="Georgia" w:hAnsi="Georgia" w:cs="Garamond"/>
        </w:rPr>
        <w:t>osterity</w:t>
      </w:r>
      <w:r w:rsidR="00DA641C">
        <w:rPr>
          <w:rFonts w:ascii="Georgia" w:hAnsi="Georgia" w:cs="Garamond"/>
        </w:rPr>
        <w:t xml:space="preserve">. </w:t>
      </w:r>
    </w:p>
    <w:p w:rsidR="004317DF" w:rsidRPr="001C37C2" w:rsidRDefault="004317DF" w:rsidP="004317DF">
      <w:pPr>
        <w:numPr>
          <w:ilvl w:val="12"/>
          <w:numId w:val="0"/>
        </w:numPr>
        <w:tabs>
          <w:tab w:val="left" w:pos="360"/>
        </w:tabs>
        <w:spacing w:line="360" w:lineRule="auto"/>
        <w:ind w:firstLine="360"/>
        <w:rPr>
          <w:rFonts w:ascii="Georgia" w:hAnsi="Georgia" w:cs="Garamond"/>
        </w:rPr>
      </w:pPr>
      <w:r w:rsidRPr="001C37C2">
        <w:rPr>
          <w:rFonts w:ascii="Georgia" w:hAnsi="Georgia" w:cs="Garamond"/>
        </w:rPr>
        <w:t xml:space="preserve">This Administrative Notice and Demand is not intended to hinder, delay, obstruct, intimidate, or in any way threaten anyone, but is simply a means of invoking recipient’s duty to act pursuant to the above quoted statutes, which apply to the recipient in recipient’s official capacity, for lawful disclosure of vitally needed information. This demand is made consistent with the United States Supreme Court Decision of </w:t>
      </w:r>
      <w:r w:rsidRPr="001C37C2">
        <w:rPr>
          <w:rFonts w:ascii="Georgia" w:hAnsi="Georgia" w:cs="Garamond"/>
          <w:bCs/>
          <w:iCs/>
        </w:rPr>
        <w:t>Federal Crop Insurance Corporation v. Merrill</w:t>
      </w:r>
      <w:r w:rsidRPr="001C37C2">
        <w:rPr>
          <w:rFonts w:ascii="Georgia" w:hAnsi="Georgia" w:cs="Garamond"/>
        </w:rPr>
        <w:t>, 332 U.S. 380 at 384 (1947) and the inherent mandatory duty of honest services by a public servant of the People.</w:t>
      </w:r>
    </w:p>
    <w:p w:rsidR="004317DF" w:rsidRPr="001C37C2" w:rsidRDefault="004317DF" w:rsidP="004317DF">
      <w:pPr>
        <w:numPr>
          <w:ilvl w:val="12"/>
          <w:numId w:val="0"/>
        </w:numPr>
        <w:tabs>
          <w:tab w:val="left" w:pos="360"/>
        </w:tabs>
        <w:spacing w:line="360" w:lineRule="auto"/>
        <w:ind w:firstLine="360"/>
        <w:rPr>
          <w:rFonts w:ascii="Georgia" w:hAnsi="Georgia"/>
          <w:bCs/>
        </w:rPr>
      </w:pPr>
      <w:r w:rsidRPr="001C37C2">
        <w:rPr>
          <w:rFonts w:ascii="Georgia" w:hAnsi="Georgia" w:cs="Garamond"/>
        </w:rPr>
        <w:t xml:space="preserve">Should recipient not timely and fully comply in ten days, it will be deemed, by tacit procuration, your implied admission that you have </w:t>
      </w:r>
      <w:r w:rsidRPr="000E3835">
        <w:rPr>
          <w:rFonts w:ascii="Georgia" w:hAnsi="Georgia" w:cs="Garamond"/>
        </w:rPr>
        <w:t>failed to qualify</w:t>
      </w:r>
      <w:r w:rsidRPr="001C37C2">
        <w:rPr>
          <w:rFonts w:ascii="Georgia" w:hAnsi="Georgia" w:cs="Garamond"/>
        </w:rPr>
        <w:t xml:space="preserve"> for your office or employment pursuant to the principle of law embodied in the decision of </w:t>
      </w:r>
      <w:r w:rsidRPr="001C37C2">
        <w:rPr>
          <w:rFonts w:ascii="Georgia" w:hAnsi="Georgia" w:cs="Garamond"/>
          <w:i/>
        </w:rPr>
        <w:t>Norton v. Lewis</w:t>
      </w:r>
      <w:r w:rsidRPr="001C37C2">
        <w:rPr>
          <w:rFonts w:ascii="Georgia" w:hAnsi="Georgia" w:cs="Garamond"/>
        </w:rPr>
        <w:t xml:space="preserve">, </w:t>
      </w:r>
      <w:r w:rsidRPr="001C37C2">
        <w:rPr>
          <w:rFonts w:ascii="Georgia" w:hAnsi="Georgia"/>
          <w:bCs/>
        </w:rPr>
        <w:t>34 Cal. App. 621; 168 P. 388; 1917 Cal. App. LEXIS 227 (1917).</w:t>
      </w:r>
    </w:p>
    <w:p w:rsidR="004317DF" w:rsidRPr="001C37C2" w:rsidRDefault="004317DF" w:rsidP="00FB2439">
      <w:pPr>
        <w:tabs>
          <w:tab w:val="left" w:pos="360"/>
        </w:tabs>
        <w:autoSpaceDE w:val="0"/>
        <w:autoSpaceDN w:val="0"/>
        <w:adjustRightInd w:val="0"/>
        <w:spacing w:line="360" w:lineRule="auto"/>
        <w:ind w:hanging="360"/>
        <w:rPr>
          <w:rFonts w:ascii="Georgia" w:hAnsi="Georgia"/>
        </w:rPr>
      </w:pPr>
      <w:r w:rsidRPr="00FB2439">
        <w:rPr>
          <w:rFonts w:ascii="Georgia" w:hAnsi="Georgia"/>
          <w:b/>
          <w:smallCaps/>
          <w:sz w:val="32"/>
          <w:szCs w:val="32"/>
        </w:rPr>
        <w:t>W</w:t>
      </w:r>
      <w:r w:rsidRPr="001C37C2">
        <w:rPr>
          <w:rFonts w:ascii="Georgia" w:hAnsi="Georgia"/>
          <w:b/>
          <w:smallCaps/>
        </w:rPr>
        <w:t>herefore</w:t>
      </w:r>
      <w:r w:rsidRPr="001C37C2">
        <w:rPr>
          <w:rFonts w:ascii="Georgia" w:hAnsi="Georgia"/>
        </w:rPr>
        <w:t xml:space="preserve">, the aforesaid </w:t>
      </w:r>
      <w:r w:rsidR="000E3835">
        <w:rPr>
          <w:rFonts w:ascii="Georgia" w:hAnsi="Georgia"/>
        </w:rPr>
        <w:t>elected or appointed</w:t>
      </w:r>
      <w:r w:rsidRPr="001C37C2">
        <w:rPr>
          <w:rFonts w:ascii="Georgia" w:hAnsi="Georgia"/>
        </w:rPr>
        <w:t xml:space="preserve"> officer(s) is to mail the </w:t>
      </w:r>
      <w:r w:rsidR="00FB2439">
        <w:rPr>
          <w:rFonts w:ascii="Georgia" w:hAnsi="Georgia"/>
        </w:rPr>
        <w:t xml:space="preserve">demanded documents </w:t>
      </w:r>
      <w:r w:rsidRPr="001C37C2">
        <w:rPr>
          <w:rFonts w:ascii="Georgia" w:hAnsi="Georgia"/>
        </w:rPr>
        <w:t xml:space="preserve">to the </w:t>
      </w:r>
      <w:r w:rsidR="009C1814" w:rsidRPr="009C1814">
        <w:rPr>
          <w:rFonts w:ascii="Georgia" w:hAnsi="Georgia"/>
          <w:color w:val="FF0000"/>
        </w:rPr>
        <w:t>Your</w:t>
      </w:r>
      <w:r w:rsidR="009C1814">
        <w:rPr>
          <w:rFonts w:ascii="Georgia" w:hAnsi="Georgia"/>
        </w:rPr>
        <w:t xml:space="preserve"> </w:t>
      </w:r>
      <w:r w:rsidR="00FB2439">
        <w:rPr>
          <w:rFonts w:ascii="Georgia" w:hAnsi="Georgia"/>
        </w:rPr>
        <w:t>County Committee of Safety at the address provided above</w:t>
      </w:r>
      <w:r w:rsidR="00B22DEC">
        <w:rPr>
          <w:rFonts w:ascii="Georgia" w:hAnsi="Georgia"/>
        </w:rPr>
        <w:t xml:space="preserve"> within 10 days of </w:t>
      </w:r>
      <w:r w:rsidR="009C1814">
        <w:rPr>
          <w:rFonts w:ascii="Georgia" w:hAnsi="Georgia"/>
        </w:rPr>
        <w:t xml:space="preserve">being served </w:t>
      </w:r>
      <w:r w:rsidR="00B22DEC">
        <w:rPr>
          <w:rFonts w:ascii="Georgia" w:hAnsi="Georgia"/>
        </w:rPr>
        <w:t>this Quo Warranto.</w:t>
      </w:r>
    </w:p>
    <w:p w:rsidR="00FB2439" w:rsidRDefault="00FB2439" w:rsidP="004317DF">
      <w:pPr>
        <w:tabs>
          <w:tab w:val="left" w:pos="360"/>
        </w:tabs>
        <w:spacing w:line="360" w:lineRule="auto"/>
        <w:rPr>
          <w:rFonts w:ascii="Georgia" w:hAnsi="Georgia"/>
        </w:rPr>
      </w:pPr>
    </w:p>
    <w:p w:rsidR="004317DF" w:rsidRPr="001C37C2" w:rsidRDefault="004317DF" w:rsidP="004317DF">
      <w:pPr>
        <w:tabs>
          <w:tab w:val="left" w:pos="360"/>
        </w:tabs>
        <w:spacing w:line="360" w:lineRule="auto"/>
        <w:rPr>
          <w:rFonts w:ascii="Georgia" w:hAnsi="Georgia"/>
        </w:rPr>
      </w:pPr>
      <w:r w:rsidRPr="001C37C2">
        <w:rPr>
          <w:rFonts w:ascii="Georgia" w:hAnsi="Georgia"/>
        </w:rPr>
        <w:t>R</w:t>
      </w:r>
      <w:r w:rsidRPr="001C37C2">
        <w:rPr>
          <w:rFonts w:ascii="Georgia" w:hAnsi="Georgia"/>
          <w:smallCaps/>
        </w:rPr>
        <w:t>espectfully submitted</w:t>
      </w:r>
      <w:r w:rsidRPr="001C37C2">
        <w:rPr>
          <w:rFonts w:ascii="Georgia" w:hAnsi="Georgia"/>
        </w:rPr>
        <w:t xml:space="preserve"> this </w:t>
      </w:r>
      <w:r w:rsidR="00FB2439" w:rsidRPr="00FB2439">
        <w:rPr>
          <w:rFonts w:ascii="Georgia" w:hAnsi="Georgia"/>
          <w:color w:val="FF0000"/>
        </w:rPr>
        <w:t>Date</w:t>
      </w:r>
      <w:r w:rsidRPr="001C37C2">
        <w:rPr>
          <w:rFonts w:ascii="Georgia" w:hAnsi="Georgia"/>
        </w:rPr>
        <w:t xml:space="preserve"> 20</w:t>
      </w:r>
      <w:r w:rsidRPr="001C37C2">
        <w:rPr>
          <w:rFonts w:ascii="Georgia" w:hAnsi="Georgia"/>
          <w:color w:val="FF0000"/>
        </w:rPr>
        <w:t>2</w:t>
      </w:r>
      <w:r w:rsidR="00EB42FC">
        <w:rPr>
          <w:rFonts w:ascii="Georgia" w:hAnsi="Georgia"/>
          <w:color w:val="FF0000"/>
        </w:rPr>
        <w:t>4</w:t>
      </w:r>
      <w:r w:rsidRPr="001C37C2">
        <w:rPr>
          <w:rFonts w:ascii="Georgia" w:hAnsi="Georgia"/>
        </w:rPr>
        <w:t xml:space="preserve"> </w:t>
      </w:r>
    </w:p>
    <w:p w:rsidR="004317DF" w:rsidRPr="001C37C2" w:rsidRDefault="004317DF" w:rsidP="004317DF">
      <w:pPr>
        <w:tabs>
          <w:tab w:val="left" w:pos="360"/>
        </w:tabs>
        <w:autoSpaceDE w:val="0"/>
        <w:autoSpaceDN w:val="0"/>
        <w:adjustRightInd w:val="0"/>
        <w:spacing w:line="360" w:lineRule="auto"/>
        <w:rPr>
          <w:rFonts w:ascii="Georgia" w:hAnsi="Georgia"/>
          <w:smallCaps/>
        </w:rPr>
      </w:pPr>
      <w:r w:rsidRPr="001C37C2">
        <w:rPr>
          <w:rFonts w:ascii="Georgia" w:hAnsi="Georgia"/>
          <w:smallCaps/>
        </w:rPr>
        <w:tab/>
        <w:t>Seal</w:t>
      </w:r>
    </w:p>
    <w:p w:rsidR="004317DF" w:rsidRPr="001C37C2" w:rsidRDefault="004317DF" w:rsidP="00EB42FC">
      <w:pPr>
        <w:tabs>
          <w:tab w:val="left" w:pos="360"/>
        </w:tabs>
        <w:spacing w:after="0" w:line="360" w:lineRule="auto"/>
        <w:rPr>
          <w:rFonts w:ascii="Georgia" w:hAnsi="Georgia"/>
        </w:rPr>
      </w:pP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t>____</w:t>
      </w:r>
      <w:r w:rsidR="00EB42FC">
        <w:rPr>
          <w:rFonts w:ascii="Georgia" w:hAnsi="Georgia"/>
        </w:rPr>
        <w:t>__</w:t>
      </w:r>
      <w:r w:rsidRPr="001C37C2">
        <w:rPr>
          <w:rFonts w:ascii="Georgia" w:hAnsi="Georgia"/>
        </w:rPr>
        <w:t xml:space="preserve">_____________________ </w:t>
      </w:r>
    </w:p>
    <w:p w:rsidR="004317DF" w:rsidRPr="001C37C2" w:rsidRDefault="004317DF" w:rsidP="004317DF">
      <w:pPr>
        <w:tabs>
          <w:tab w:val="left" w:pos="360"/>
        </w:tabs>
        <w:spacing w:line="360" w:lineRule="auto"/>
        <w:rPr>
          <w:rFonts w:ascii="Georgia" w:hAnsi="Georgia"/>
        </w:rPr>
      </w:pP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Pr="001C37C2">
        <w:rPr>
          <w:rFonts w:ascii="Georgia" w:hAnsi="Georgia"/>
        </w:rPr>
        <w:tab/>
      </w:r>
      <w:r w:rsidR="00EB42FC">
        <w:rPr>
          <w:rFonts w:ascii="Georgia" w:hAnsi="Georgia"/>
        </w:rPr>
        <w:tab/>
        <w:t xml:space="preserve"> County Committee of Safety Chairman</w:t>
      </w:r>
    </w:p>
    <w:p w:rsidR="004317DF" w:rsidRPr="001C37C2" w:rsidRDefault="004317DF" w:rsidP="004317DF">
      <w:pPr>
        <w:tabs>
          <w:tab w:val="left" w:pos="360"/>
        </w:tabs>
        <w:autoSpaceDE w:val="0"/>
        <w:autoSpaceDN w:val="0"/>
        <w:adjustRightInd w:val="0"/>
        <w:spacing w:line="360" w:lineRule="auto"/>
        <w:rPr>
          <w:rFonts w:ascii="Georgia" w:hAnsi="Georgia"/>
        </w:rPr>
      </w:pPr>
    </w:p>
    <w:p w:rsidR="004317DF" w:rsidRPr="001C37C2" w:rsidRDefault="004317DF" w:rsidP="004317DF">
      <w:pPr>
        <w:tabs>
          <w:tab w:val="left" w:pos="360"/>
        </w:tabs>
        <w:autoSpaceDE w:val="0"/>
        <w:autoSpaceDN w:val="0"/>
        <w:adjustRightInd w:val="0"/>
        <w:spacing w:line="360" w:lineRule="auto"/>
        <w:rPr>
          <w:rFonts w:ascii="Georgia" w:hAnsi="Georgia"/>
        </w:rPr>
      </w:pPr>
    </w:p>
    <w:p w:rsidR="00CB0E37" w:rsidRDefault="00CB0E37"/>
    <w:p w:rsidR="00E75C94" w:rsidRDefault="00E75C94"/>
    <w:p w:rsidR="00CB0E37" w:rsidRDefault="00CB0E37"/>
    <w:sectPr w:rsidR="00CB0E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6024" w:rsidRDefault="005E6024" w:rsidP="00A33EC7">
      <w:pPr>
        <w:spacing w:after="0" w:line="240" w:lineRule="auto"/>
      </w:pPr>
      <w:r>
        <w:separator/>
      </w:r>
    </w:p>
  </w:endnote>
  <w:endnote w:type="continuationSeparator" w:id="0">
    <w:p w:rsidR="005E6024" w:rsidRDefault="005E6024" w:rsidP="00A3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668637"/>
      <w:docPartObj>
        <w:docPartGallery w:val="Page Numbers (Bottom of Page)"/>
        <w:docPartUnique/>
      </w:docPartObj>
    </w:sdtPr>
    <w:sdtEndPr>
      <w:rPr>
        <w:b/>
        <w:bCs/>
        <w:smallCaps/>
      </w:rPr>
    </w:sdtEndPr>
    <w:sdtContent>
      <w:sdt>
        <w:sdtPr>
          <w:id w:val="1728636285"/>
          <w:docPartObj>
            <w:docPartGallery w:val="Page Numbers (Top of Page)"/>
            <w:docPartUnique/>
          </w:docPartObj>
        </w:sdtPr>
        <w:sdtEndPr>
          <w:rPr>
            <w:b/>
            <w:bCs/>
            <w:smallCaps/>
          </w:rPr>
        </w:sdtEndPr>
        <w:sdtContent>
          <w:p w:rsidR="00D0650E" w:rsidRPr="00D0650E" w:rsidRDefault="00D0650E">
            <w:pPr>
              <w:pStyle w:val="Footer"/>
              <w:jc w:val="center"/>
              <w:rPr>
                <w:b/>
                <w:bCs/>
                <w:smallCaps/>
              </w:rPr>
            </w:pPr>
            <w:r w:rsidRPr="00D0650E">
              <w:rPr>
                <w:b/>
                <w:bCs/>
                <w:smallCaps/>
              </w:rPr>
              <w:t>Quo Warranto</w:t>
            </w:r>
            <w:r w:rsidRPr="00D0650E">
              <w:rPr>
                <w:b/>
                <w:bCs/>
                <w:smallCaps/>
              </w:rPr>
              <w:tab/>
            </w:r>
            <w:r w:rsidRPr="00D0650E">
              <w:rPr>
                <w:b/>
                <w:bCs/>
                <w:smallCaps/>
              </w:rPr>
              <w:tab/>
              <w:t xml:space="preserve">Page </w:t>
            </w:r>
            <w:r w:rsidRPr="00D0650E">
              <w:rPr>
                <w:b/>
                <w:bCs/>
                <w:smallCaps/>
              </w:rPr>
              <w:fldChar w:fldCharType="begin"/>
            </w:r>
            <w:r w:rsidRPr="00D0650E">
              <w:rPr>
                <w:b/>
                <w:bCs/>
                <w:smallCaps/>
              </w:rPr>
              <w:instrText xml:space="preserve"> PAGE </w:instrText>
            </w:r>
            <w:r w:rsidRPr="00D0650E">
              <w:rPr>
                <w:b/>
                <w:bCs/>
                <w:smallCaps/>
              </w:rPr>
              <w:fldChar w:fldCharType="separate"/>
            </w:r>
            <w:r w:rsidRPr="00D0650E">
              <w:rPr>
                <w:b/>
                <w:bCs/>
                <w:smallCaps/>
                <w:noProof/>
              </w:rPr>
              <w:t>2</w:t>
            </w:r>
            <w:r w:rsidRPr="00D0650E">
              <w:rPr>
                <w:b/>
                <w:bCs/>
                <w:smallCaps/>
              </w:rPr>
              <w:fldChar w:fldCharType="end"/>
            </w:r>
            <w:r w:rsidRPr="00D0650E">
              <w:rPr>
                <w:b/>
                <w:bCs/>
                <w:smallCaps/>
              </w:rPr>
              <w:t xml:space="preserve"> of </w:t>
            </w:r>
            <w:r w:rsidRPr="00D0650E">
              <w:rPr>
                <w:b/>
                <w:bCs/>
                <w:smallCaps/>
              </w:rPr>
              <w:fldChar w:fldCharType="begin"/>
            </w:r>
            <w:r w:rsidRPr="00D0650E">
              <w:rPr>
                <w:b/>
                <w:bCs/>
                <w:smallCaps/>
              </w:rPr>
              <w:instrText xml:space="preserve"> NUMPAGES  </w:instrText>
            </w:r>
            <w:r w:rsidRPr="00D0650E">
              <w:rPr>
                <w:b/>
                <w:bCs/>
                <w:smallCaps/>
              </w:rPr>
              <w:fldChar w:fldCharType="separate"/>
            </w:r>
            <w:r w:rsidRPr="00D0650E">
              <w:rPr>
                <w:b/>
                <w:bCs/>
                <w:smallCaps/>
                <w:noProof/>
              </w:rPr>
              <w:t>2</w:t>
            </w:r>
            <w:r w:rsidRPr="00D0650E">
              <w:rPr>
                <w:b/>
                <w:bCs/>
                <w:smallCaps/>
              </w:rPr>
              <w:fldChar w:fldCharType="end"/>
            </w:r>
          </w:p>
        </w:sdtContent>
      </w:sdt>
    </w:sdtContent>
  </w:sdt>
  <w:p w:rsidR="00D0650E" w:rsidRDefault="00D0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6024" w:rsidRDefault="005E6024" w:rsidP="00A33EC7">
      <w:pPr>
        <w:spacing w:after="0" w:line="240" w:lineRule="auto"/>
      </w:pPr>
      <w:r>
        <w:separator/>
      </w:r>
    </w:p>
  </w:footnote>
  <w:footnote w:type="continuationSeparator" w:id="0">
    <w:p w:rsidR="005E6024" w:rsidRDefault="005E6024" w:rsidP="00A33EC7">
      <w:pPr>
        <w:spacing w:after="0" w:line="240" w:lineRule="auto"/>
      </w:pPr>
      <w:r>
        <w:continuationSeparator/>
      </w:r>
    </w:p>
  </w:footnote>
  <w:footnote w:id="1">
    <w:p w:rsidR="00A33EC7" w:rsidRPr="00610A3F" w:rsidRDefault="00A33EC7" w:rsidP="00A33EC7">
      <w:pPr>
        <w:pStyle w:val="FootnoteText"/>
        <w:rPr>
          <w:rFonts w:ascii="Georgia" w:hAnsi="Georgia"/>
        </w:rPr>
      </w:pPr>
      <w:r w:rsidRPr="00610A3F">
        <w:rPr>
          <w:rStyle w:val="FootnoteReference"/>
          <w:rFonts w:ascii="Georgia" w:hAnsi="Georgia"/>
        </w:rPr>
        <w:footnoteRef/>
      </w:r>
      <w:r w:rsidRPr="00610A3F">
        <w:rPr>
          <w:rFonts w:ascii="Georgia" w:hAnsi="Georgia"/>
        </w:rPr>
        <w:t xml:space="preserve"> </w:t>
      </w:r>
      <w:r w:rsidRPr="00610A3F">
        <w:rPr>
          <w:rStyle w:val="dcbld"/>
          <w:rFonts w:ascii="Georgia" w:hAnsi="Georgia"/>
        </w:rPr>
        <w:t>a writ or legal action requiring a person to show by what warrant an office or franchise is held, claimed, or exercised:</w:t>
      </w:r>
    </w:p>
  </w:footnote>
  <w:footnote w:id="2">
    <w:p w:rsidR="00FB2439" w:rsidRPr="00FB2439" w:rsidRDefault="00FB2439" w:rsidP="00FB2439">
      <w:pPr>
        <w:tabs>
          <w:tab w:val="left" w:pos="360"/>
        </w:tabs>
        <w:spacing w:after="0" w:line="240" w:lineRule="auto"/>
        <w:rPr>
          <w:rFonts w:ascii="Georgia" w:hAnsi="Georgia"/>
          <w:sz w:val="20"/>
          <w:szCs w:val="20"/>
        </w:rPr>
      </w:pPr>
      <w:r w:rsidRPr="00FB2439">
        <w:rPr>
          <w:rStyle w:val="FootnoteReference"/>
          <w:rFonts w:ascii="Georgia" w:hAnsi="Georgia"/>
          <w:sz w:val="20"/>
          <w:szCs w:val="20"/>
        </w:rPr>
        <w:footnoteRef/>
      </w:r>
      <w:r w:rsidRPr="00FB2439">
        <w:rPr>
          <w:rFonts w:ascii="Georgia" w:hAnsi="Georgia"/>
          <w:sz w:val="20"/>
          <w:szCs w:val="20"/>
        </w:rPr>
        <w:t xml:space="preserve"> </w:t>
      </w:r>
      <w:r w:rsidRPr="00FB2439">
        <w:rPr>
          <w:rStyle w:val="hgkelc"/>
          <w:rFonts w:ascii="Georgia" w:hAnsi="Georgia" w:cstheme="minorHAnsi"/>
          <w:sz w:val="20"/>
          <w:szCs w:val="20"/>
          <w:lang w:val="en"/>
        </w:rPr>
        <w:t>“The very meaning of ‘sovereignty’ is that the decree of the sovereign makes law,”</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and foreign courts cannot condemn influences persuading sovereign to make the decree.”</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“Sovereignty itself is of course is the author and source of law; but in our system, while sovereign powers are delegated to the agencies of government, sovereignty itself remains with the people, by whom and for whom all government exists and acts. And the law (</w:t>
      </w:r>
      <w:r w:rsidRPr="00FB2439">
        <w:rPr>
          <w:rStyle w:val="hgkelc"/>
          <w:rFonts w:ascii="Georgia" w:hAnsi="Georgia" w:cstheme="minorHAnsi"/>
          <w:i/>
          <w:iCs/>
          <w:sz w:val="20"/>
          <w:szCs w:val="20"/>
          <w:lang w:val="en"/>
        </w:rPr>
        <w:t>Constitution along with whatever a Jury might promulgate</w:t>
      </w:r>
      <w:r w:rsidRPr="00FB2439">
        <w:rPr>
          <w:rStyle w:val="hgkelc"/>
          <w:rFonts w:ascii="Georgia" w:hAnsi="Georgia" w:cstheme="minorHAnsi"/>
          <w:sz w:val="20"/>
          <w:szCs w:val="20"/>
          <w:lang w:val="en"/>
        </w:rPr>
        <w:t>) is the definition and limitation of power…”</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The people of this State, as the successors of its former sovereign, are entitled to all the rights which formerly belonged to the King by his prerogative.</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The state cannot diminish rights of the people.</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No authority can, on any pretence whatsoever, be exercised over the citizens of this state, but such as is or shall be derived from and granted by the people of this state.</w:t>
      </w:r>
      <w:r w:rsidRPr="00FB2439">
        <w:rPr>
          <w:rStyle w:val="FootnoteReference"/>
          <w:rFonts w:ascii="Georgia" w:hAnsi="Georgia" w:cstheme="minorHAnsi"/>
          <w:sz w:val="20"/>
          <w:szCs w:val="20"/>
          <w:lang w:val="en"/>
        </w:rPr>
        <w:footnoteRef/>
      </w:r>
      <w:r w:rsidRPr="00FB2439">
        <w:rPr>
          <w:rStyle w:val="hgkelc"/>
          <w:rFonts w:ascii="Georgia" w:hAnsi="Georgia" w:cstheme="minorHAnsi"/>
          <w:sz w:val="20"/>
          <w:szCs w:val="20"/>
          <w:lang w:val="en"/>
        </w:rPr>
        <w:t xml:space="preserve"> A consequence of this prerogative is the legal ubiquity of the king, via the King’s (God) bench being We the People.</w:t>
      </w:r>
    </w:p>
  </w:footnote>
  <w:footnote w:id="3">
    <w:p w:rsidR="00610A3F" w:rsidRPr="00610A3F" w:rsidRDefault="00610A3F" w:rsidP="00610A3F">
      <w:pPr>
        <w:pStyle w:val="FootnoteText"/>
        <w:rPr>
          <w:rFonts w:ascii="Georgia" w:hAnsi="Georgia"/>
        </w:rPr>
      </w:pPr>
      <w:r w:rsidRPr="00610A3F">
        <w:rPr>
          <w:rStyle w:val="FootnoteReference"/>
          <w:rFonts w:ascii="Georgia" w:hAnsi="Georgia"/>
        </w:rPr>
        <w:footnoteRef/>
      </w:r>
      <w:r w:rsidRPr="00610A3F">
        <w:rPr>
          <w:rFonts w:ascii="Georgia" w:hAnsi="Georgia"/>
        </w:rPr>
        <w:t xml:space="preserve"> COURT - [Black's, 4th] The person and suit of the sovereign; the place where the sovereign sojourns with his regal retinue, wherever that may be.; An agency of the sovereign created by it directly or indirectly under its authority, consisting of one or more officers, established and maintained for the purpose of hearing and determining issues of law and fact regarding legal rights and alleged violations thereof, and of applying the sanctions of the law, authorized to exercise its powers in the course of law at times and places previously determined by lawful authority. [Isbill v. Stovall, </w:t>
      </w:r>
      <w:proofErr w:type="spellStart"/>
      <w:r w:rsidRPr="00610A3F">
        <w:rPr>
          <w:rFonts w:ascii="Georgia" w:hAnsi="Georgia"/>
        </w:rPr>
        <w:t>Tex.Civ.App</w:t>
      </w:r>
      <w:proofErr w:type="spellEnd"/>
      <w:r w:rsidRPr="00610A3F">
        <w:rPr>
          <w:rFonts w:ascii="Georgia" w:hAnsi="Georgia"/>
        </w:rPr>
        <w:t>., 92 S.W.2d 1067, 1070;</w:t>
      </w:r>
    </w:p>
  </w:footnote>
  <w:footnote w:id="4">
    <w:p w:rsidR="00D36F6C" w:rsidRPr="00610A3F" w:rsidRDefault="00D36F6C" w:rsidP="00D36F6C">
      <w:pPr>
        <w:pStyle w:val="FootnoteText"/>
        <w:rPr>
          <w:rFonts w:ascii="Georgia" w:hAnsi="Georgia"/>
        </w:rPr>
      </w:pPr>
      <w:r w:rsidRPr="00610A3F">
        <w:rPr>
          <w:rStyle w:val="FootnoteReference"/>
          <w:rFonts w:ascii="Georgia" w:hAnsi="Georgia"/>
        </w:rPr>
        <w:footnoteRef/>
      </w:r>
      <w:r w:rsidRPr="00610A3F">
        <w:rPr>
          <w:rFonts w:ascii="Georgia" w:hAnsi="Georgia"/>
        </w:rPr>
        <w:t xml:space="preserve"> COURT OF RECORD: Blacks Law; Proceeding according to the course of common law – Jones v. Jones, 188 </w:t>
      </w:r>
      <w:proofErr w:type="spellStart"/>
      <w:r w:rsidRPr="00610A3F">
        <w:rPr>
          <w:rFonts w:ascii="Georgia" w:hAnsi="Georgia"/>
        </w:rPr>
        <w:t>Mo.App</w:t>
      </w:r>
      <w:proofErr w:type="spellEnd"/>
      <w:r w:rsidRPr="00610A3F">
        <w:rPr>
          <w:rFonts w:ascii="Georgia" w:hAnsi="Georgia"/>
        </w:rPr>
        <w:t xml:space="preserve">. 220, 175 S.W. 227, 229; Ex parte Gladhill, 8 </w:t>
      </w:r>
      <w:proofErr w:type="spellStart"/>
      <w:r w:rsidRPr="00610A3F">
        <w:rPr>
          <w:rFonts w:ascii="Georgia" w:hAnsi="Georgia"/>
        </w:rPr>
        <w:t>Metc</w:t>
      </w:r>
      <w:proofErr w:type="spellEnd"/>
      <w:r w:rsidRPr="00610A3F">
        <w:rPr>
          <w:rFonts w:ascii="Georgia" w:hAnsi="Georgia"/>
        </w:rPr>
        <w:t xml:space="preserve">. Mass., 171, per Shaw, C.J. See, also, Ledwith v. </w:t>
      </w:r>
      <w:proofErr w:type="spellStart"/>
      <w:r w:rsidRPr="00610A3F">
        <w:rPr>
          <w:rFonts w:ascii="Georgia" w:hAnsi="Georgia"/>
        </w:rPr>
        <w:t>Rosalsky</w:t>
      </w:r>
      <w:proofErr w:type="spellEnd"/>
      <w:r w:rsidRPr="00610A3F">
        <w:rPr>
          <w:rFonts w:ascii="Georgia" w:hAnsi="Georgia"/>
        </w:rPr>
        <w:t>, 244 N.Y. 406, 155 N.E. 688, 689; Black’s Law Dictionary, 4th Ed., 425, 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709E"/>
    <w:multiLevelType w:val="hybridMultilevel"/>
    <w:tmpl w:val="46940D8C"/>
    <w:lvl w:ilvl="0" w:tplc="454C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600DD"/>
    <w:multiLevelType w:val="hybridMultilevel"/>
    <w:tmpl w:val="08946DEE"/>
    <w:lvl w:ilvl="0" w:tplc="7D00ED4C">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885120">
    <w:abstractNumId w:val="1"/>
  </w:num>
  <w:num w:numId="2" w16cid:durableId="144168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C7"/>
    <w:rsid w:val="000E3835"/>
    <w:rsid w:val="0018330F"/>
    <w:rsid w:val="00204FAE"/>
    <w:rsid w:val="00260136"/>
    <w:rsid w:val="002A6D82"/>
    <w:rsid w:val="004317DF"/>
    <w:rsid w:val="004D1E1E"/>
    <w:rsid w:val="005E6024"/>
    <w:rsid w:val="00610A3F"/>
    <w:rsid w:val="00710F96"/>
    <w:rsid w:val="0091513E"/>
    <w:rsid w:val="009706F6"/>
    <w:rsid w:val="009C1814"/>
    <w:rsid w:val="00A237A3"/>
    <w:rsid w:val="00A33EC7"/>
    <w:rsid w:val="00AE7933"/>
    <w:rsid w:val="00B07BE5"/>
    <w:rsid w:val="00B22DEC"/>
    <w:rsid w:val="00C416DC"/>
    <w:rsid w:val="00CB0E37"/>
    <w:rsid w:val="00D0650E"/>
    <w:rsid w:val="00D36F6C"/>
    <w:rsid w:val="00DA641C"/>
    <w:rsid w:val="00E35488"/>
    <w:rsid w:val="00E35DA8"/>
    <w:rsid w:val="00E75C94"/>
    <w:rsid w:val="00EB42FC"/>
    <w:rsid w:val="00EF0A3A"/>
    <w:rsid w:val="00FB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7829"/>
  <w15:chartTrackingRefBased/>
  <w15:docId w15:val="{CB7EE830-44C8-4241-B8AC-24D73C3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C7"/>
    <w:pPr>
      <w:spacing w:after="200" w:line="276" w:lineRule="auto"/>
      <w:jc w:val="both"/>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B0E3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3EC7"/>
    <w:pPr>
      <w:spacing w:after="0" w:line="240" w:lineRule="auto"/>
    </w:pPr>
    <w:rPr>
      <w:sz w:val="20"/>
      <w:szCs w:val="20"/>
    </w:rPr>
  </w:style>
  <w:style w:type="character" w:customStyle="1" w:styleId="FootnoteTextChar">
    <w:name w:val="Footnote Text Char"/>
    <w:basedOn w:val="DefaultParagraphFont"/>
    <w:link w:val="FootnoteText"/>
    <w:uiPriority w:val="99"/>
    <w:rsid w:val="00A33EC7"/>
    <w:rPr>
      <w:rFonts w:ascii="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A33EC7"/>
    <w:rPr>
      <w:vertAlign w:val="superscript"/>
    </w:rPr>
  </w:style>
  <w:style w:type="character" w:customStyle="1" w:styleId="dcbld">
    <w:name w:val="dc_bld"/>
    <w:basedOn w:val="DefaultParagraphFont"/>
    <w:rsid w:val="00A33EC7"/>
  </w:style>
  <w:style w:type="table" w:styleId="TableGrid">
    <w:name w:val="Table Grid"/>
    <w:basedOn w:val="TableNormal"/>
    <w:uiPriority w:val="39"/>
    <w:rsid w:val="00A2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BE5"/>
    <w:pPr>
      <w:ind w:left="720"/>
      <w:contextualSpacing/>
    </w:pPr>
  </w:style>
  <w:style w:type="character" w:customStyle="1" w:styleId="hgkelc">
    <w:name w:val="hgkelc"/>
    <w:basedOn w:val="DefaultParagraphFont"/>
    <w:rsid w:val="00610A3F"/>
  </w:style>
  <w:style w:type="character" w:customStyle="1" w:styleId="Heading1Char">
    <w:name w:val="Heading 1 Char"/>
    <w:basedOn w:val="DefaultParagraphFont"/>
    <w:link w:val="Heading1"/>
    <w:uiPriority w:val="9"/>
    <w:rsid w:val="00CB0E37"/>
    <w:rPr>
      <w:rFonts w:asciiTheme="majorHAnsi" w:eastAsiaTheme="majorEastAsia" w:hAnsiTheme="majorHAnsi" w:cstheme="majorBidi"/>
      <w:b/>
      <w:bCs/>
      <w:color w:val="2F5496" w:themeColor="accent1" w:themeShade="BF"/>
      <w:kern w:val="0"/>
      <w:sz w:val="28"/>
      <w:szCs w:val="28"/>
      <w14:ligatures w14:val="none"/>
    </w:rPr>
  </w:style>
  <w:style w:type="character" w:styleId="Hyperlink">
    <w:name w:val="Hyperlink"/>
    <w:basedOn w:val="DefaultParagraphFont"/>
    <w:uiPriority w:val="99"/>
    <w:unhideWhenUsed/>
    <w:rsid w:val="00CB0E37"/>
    <w:rPr>
      <w:color w:val="0563C1" w:themeColor="hyperlink"/>
      <w:u w:val="single"/>
    </w:rPr>
  </w:style>
  <w:style w:type="character" w:styleId="Strong">
    <w:name w:val="Strong"/>
    <w:basedOn w:val="DefaultParagraphFont"/>
    <w:uiPriority w:val="22"/>
    <w:qFormat/>
    <w:rsid w:val="00CB0E37"/>
    <w:rPr>
      <w:b/>
      <w:bCs/>
    </w:rPr>
  </w:style>
  <w:style w:type="paragraph" w:styleId="NormalWeb">
    <w:name w:val="Normal (Web)"/>
    <w:basedOn w:val="Normal"/>
    <w:uiPriority w:val="99"/>
    <w:unhideWhenUsed/>
    <w:rsid w:val="00CB0E37"/>
    <w:pPr>
      <w:spacing w:before="100" w:beforeAutospacing="1" w:after="100" w:afterAutospacing="1" w:line="240" w:lineRule="auto"/>
      <w:jc w:val="left"/>
    </w:pPr>
    <w:rPr>
      <w:rFonts w:eastAsia="Times New Roman"/>
    </w:rPr>
  </w:style>
  <w:style w:type="paragraph" w:styleId="Header">
    <w:name w:val="header"/>
    <w:basedOn w:val="Normal"/>
    <w:link w:val="HeaderChar"/>
    <w:uiPriority w:val="99"/>
    <w:unhideWhenUsed/>
    <w:rsid w:val="00D06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50E"/>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D06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50E"/>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387E-D243-40F6-8B7C-97CAD147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12</cp:revision>
  <dcterms:created xsi:type="dcterms:W3CDTF">2024-04-06T16:27:00Z</dcterms:created>
  <dcterms:modified xsi:type="dcterms:W3CDTF">2024-04-06T19:12:00Z</dcterms:modified>
</cp:coreProperties>
</file>